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64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6AB7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FC12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5AB0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73EE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38BEE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МИНИСТЕРСТВО ОБРАЗОВАНИЯ И НАУКИ ХАБАРОВСКОГО КРАЯ</w:t>
      </w:r>
    </w:p>
    <w:p w14:paraId="4A5BC443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КРАЕВОЕ ГОСУДАРСТВЕННОЕ БЮДЖЕТНОЕ</w:t>
      </w:r>
    </w:p>
    <w:p w14:paraId="3D851735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ПРОФЕССИОНАЛЬНОЕ ОБРАЗОВАТЕЛЬНОЕ УЧРЕЖДЕНИЕ </w:t>
      </w:r>
    </w:p>
    <w:p w14:paraId="35D81011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«ХАБАРОВСКИЙ ТЕХНИКУМ ТРАНСПОРТНЫХ ТЕХНОЛОГИЙ </w:t>
      </w:r>
    </w:p>
    <w:p w14:paraId="3CED1E6A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ИМЕНИ ГЕРОЯ СОВЕТСКОГО СОЮЗА А.С. ПАНОВА»</w:t>
      </w:r>
    </w:p>
    <w:p w14:paraId="6FB491DC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D4C9E7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7F67B9F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4955C28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7A1546E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1D4E082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559B79F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</w:p>
    <w:p w14:paraId="48A1C7C0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РАБОЧАЯ УЧЕБНАЯ ПРОГРАММА 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0178E93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1698B6D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7BABC6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7E7306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ОП. 03 Правовое обеспечение и страхование по видам транспорта</w:t>
      </w:r>
    </w:p>
    <w:p w14:paraId="4B38AC85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83F40A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0D9F6A49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7BD276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6E9E16D9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транспорта)</w:t>
      </w:r>
    </w:p>
    <w:p w14:paraId="41DF810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3665256F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6159E8E4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подготовка</w:t>
      </w:r>
    </w:p>
    <w:p w14:paraId="51485D4D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образования</w:t>
      </w:r>
    </w:p>
    <w:p w14:paraId="6030311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33D7D1DD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799ADFF3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обучения</w:t>
      </w:r>
    </w:p>
    <w:p w14:paraId="458E7738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образования.</w:t>
      </w:r>
    </w:p>
    <w:p w14:paraId="0580889F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2F05F71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12E59B4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0D81DB4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49C6751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5D86803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0BF2ADA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77FCC56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372E8D5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0FF0F2A3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29991B40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</w:rPr>
      </w:pPr>
    </w:p>
    <w:p w14:paraId="1DBB0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г.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В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.С. Разумова</w:t>
            </w:r>
            <w:bookmarkStart w:id="0" w:name="_GoBack"/>
            <w:bookmarkEnd w:id="0"/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350FDE4D">
      <w:pPr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/>
      </w: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  <w:br w:type="page"/>
      </w:r>
    </w:p>
    <w:p w14:paraId="3CCFF50F">
      <w:pPr>
        <w:spacing w:after="0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СОДЕРЖАНИЕ</w:t>
      </w:r>
    </w:p>
    <w:p w14:paraId="10F90610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C6A3D79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52C5247F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7015F84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5E3657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4FB912D9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0A14EFA5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603A3421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3EEAFC1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6D949D1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8F1B470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BA3FA8A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CCF4F68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826295D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B0DB3CA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7B758DF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FD95308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F532296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362B5AC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CE077E1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A63B7E6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E92BF22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EBB4740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1A96286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A35ADB0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854E7EB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C51F7F0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FA19CA8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603DD95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D585D0A">
      <w:pPr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1F64683">
      <w:pPr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ОБЩАЯ ХАРАКТЕРИСТИКА РАБОЧЕЙ ПРОГРАММЫ УЧЕБНОЙ ДИСЦИПЛИНЫ ОБЩЕПРОФЕССИОНАЛЬНОГО ЦИКЛА</w:t>
      </w:r>
    </w:p>
    <w:p w14:paraId="1FFBEF6D">
      <w:pPr>
        <w:suppressAutoHyphens/>
        <w:spacing w:after="0" w:line="240" w:lineRule="auto"/>
        <w:ind w:left="72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«ОП.03 Правовое обеспечение и страхование по видам транспорта»</w:t>
      </w:r>
    </w:p>
    <w:p w14:paraId="1F1CE84A">
      <w:pPr>
        <w:suppressAutoHyphens/>
        <w:spacing w:after="0" w:line="240" w:lineRule="auto"/>
        <w:ind w:left="720"/>
        <w:jc w:val="center"/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</w:pPr>
    </w:p>
    <w:p w14:paraId="33082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14:paraId="59F9CA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Учебная дисциплина «ОП.03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Правовое обеспечение и страхование по видам транспорта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» является обязательной частью общепрофессионального цикла образовательной программы в соответствии с ФГОС СПО по специальности 43.02.06 Сервис на транспорте (по видам транспорта)</w:t>
      </w:r>
    </w:p>
    <w:p w14:paraId="5EEC710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 (Далее ОК.) ОК. 02, ОК. 04, ОК. 05., развитие Профессиональных компетенций (далее ПК)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ПК. 2.3 ПК.2.6 ПК. 2.8 ПК. 2.9</w:t>
      </w:r>
    </w:p>
    <w:p w14:paraId="2FB8C05B">
      <w:pPr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14:paraId="5DB84058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усвоения программы общепрофессионального цикла обучающимися осваиваются умения и знания</w:t>
      </w: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948"/>
        <w:gridCol w:w="5529"/>
      </w:tblGrid>
      <w:tr w14:paraId="3C127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29" w:type="dxa"/>
          </w:tcPr>
          <w:p w14:paraId="00894F4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  <w:p w14:paraId="2EB3326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ПК, ОК.</w:t>
            </w:r>
          </w:p>
        </w:tc>
        <w:tc>
          <w:tcPr>
            <w:tcW w:w="2948" w:type="dxa"/>
          </w:tcPr>
          <w:p w14:paraId="2BA2856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5529" w:type="dxa"/>
          </w:tcPr>
          <w:p w14:paraId="14E54EF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Знания</w:t>
            </w:r>
          </w:p>
        </w:tc>
      </w:tr>
      <w:tr w14:paraId="011C3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1129" w:type="dxa"/>
          </w:tcPr>
          <w:p w14:paraId="2CBCE00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4EB4FE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264FED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791B1E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B63F54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02, ОК. 04, ОК. 05</w:t>
            </w:r>
          </w:p>
          <w:p w14:paraId="24C50A9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63346D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6831DB6E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5BBBFAAD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558CB86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128A52E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8" w:type="dxa"/>
          </w:tcPr>
          <w:p w14:paraId="5F9B56CF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защищать свои права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в соответствии с </w:t>
            </w:r>
            <w:r>
              <w:fldChar w:fldCharType="begin"/>
            </w:r>
            <w:r>
              <w:instrText xml:space="preserve"> HYPERLINK "https://base.garant.ru/12125268/5633a92d35b966c2ba2f1e859e7bdd69/" \l "block_5"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трудовым законодательством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655E3CC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применять требования нормативных документов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к основным видам услуг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и процессов сервиса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на транспорте;</w:t>
            </w:r>
          </w:p>
          <w:p w14:paraId="6B4FA37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применять документацию систем качества;</w:t>
            </w:r>
          </w:p>
          <w:p w14:paraId="693F1D5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консультировать потребителей по вопросам страхования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на транспорте;</w:t>
            </w:r>
          </w:p>
          <w:p w14:paraId="355672D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оформлять страховые программы на транспорте;</w:t>
            </w:r>
          </w:p>
          <w:p w14:paraId="50809E3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предоставлять информацию при расследовании страховых случаев</w:t>
            </w:r>
          </w:p>
        </w:tc>
        <w:tc>
          <w:tcPr>
            <w:tcW w:w="5529" w:type="dxa"/>
          </w:tcPr>
          <w:p w14:paraId="7141697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права и обязанности работников в сфере профессиональной деятельности в области транспортных перевозок;</w:t>
            </w:r>
          </w:p>
          <w:p w14:paraId="75788FE9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законодательные акты и другие нормативные документы, регулирующие правоотношения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в транспортных перевозках;</w:t>
            </w:r>
          </w:p>
          <w:p w14:paraId="2D35E42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международные конвенции, правовые и нормативные акты, регулирующие основные направления государственной политики в сфере страхования на транспорте;</w:t>
            </w:r>
          </w:p>
          <w:p w14:paraId="077E14B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специфику видов страховой деятельности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на транспорте;</w:t>
            </w:r>
          </w:p>
          <w:p w14:paraId="0AED8FF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страхование ответственности перед пассажирами;</w:t>
            </w:r>
          </w:p>
          <w:p w14:paraId="56B7D3C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страхование ответственности за доставку багажа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и груза;</w:t>
            </w:r>
          </w:p>
          <w:p w14:paraId="6543B70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страхование гражданской ответственности владельца транспортного средства и перевозчика;</w:t>
            </w:r>
          </w:p>
          <w:p w14:paraId="71D27E6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ответственность за нанесенный вред жизни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и здоровью пассажира;</w:t>
            </w:r>
          </w:p>
          <w:p w14:paraId="3348525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ответственность перевозчика за сохранность багаж и груз;</w:t>
            </w:r>
          </w:p>
          <w:p w14:paraId="788AD50C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расследование страховых случаев</w:t>
            </w:r>
          </w:p>
        </w:tc>
      </w:tr>
    </w:tbl>
    <w:p w14:paraId="3240514C">
      <w:pPr>
        <w:suppressAutoHyphens/>
        <w:spacing w:before="120"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87BA4FA">
      <w:pPr>
        <w:suppressAutoHyphens/>
        <w:spacing w:before="120"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6A750464">
      <w:pPr>
        <w:suppressAutoHyphens/>
        <w:spacing w:before="120" w:after="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517"/>
      </w:tblGrid>
      <w:tr w14:paraId="0C469DB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3685" w:type="pct"/>
            <w:vAlign w:val="center"/>
          </w:tcPr>
          <w:p w14:paraId="26365256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D017733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14:paraId="43DAAF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3685" w:type="pct"/>
            <w:vAlign w:val="center"/>
          </w:tcPr>
          <w:p w14:paraId="0C1D6C8C">
            <w:pPr>
              <w:suppressAutoHyphens/>
              <w:spacing w:after="0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5FD9DC06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88</w:t>
            </w:r>
          </w:p>
        </w:tc>
      </w:tr>
      <w:tr w14:paraId="2B7428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5000" w:type="pct"/>
            <w:gridSpan w:val="2"/>
            <w:vAlign w:val="center"/>
          </w:tcPr>
          <w:p w14:paraId="37900748">
            <w:pPr>
              <w:suppressAutoHyphens/>
              <w:spacing w:after="0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14:paraId="08B36D2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3685" w:type="pct"/>
            <w:vAlign w:val="center"/>
          </w:tcPr>
          <w:p w14:paraId="2244896F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3A59237E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14:paraId="15DD41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3685" w:type="pct"/>
            <w:vAlign w:val="center"/>
          </w:tcPr>
          <w:p w14:paraId="666EEC25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48664120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38</w:t>
            </w:r>
          </w:p>
        </w:tc>
      </w:tr>
      <w:tr w14:paraId="611EFE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6434A1EF">
            <w:pPr>
              <w:suppressAutoHyphens/>
              <w:spacing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5235482E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14:paraId="179C34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" w:hRule="atLeast"/>
        </w:trPr>
        <w:tc>
          <w:tcPr>
            <w:tcW w:w="3685" w:type="pct"/>
            <w:vAlign w:val="center"/>
          </w:tcPr>
          <w:p w14:paraId="7D0EB7E5">
            <w:pPr>
              <w:suppressAutoHyphens/>
              <w:spacing w:after="0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14:paraId="38B1C9EC">
            <w:pPr>
              <w:suppressAutoHyphens/>
              <w:spacing w:after="0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</w:tr>
    </w:tbl>
    <w:p w14:paraId="5EA1B286">
      <w:pP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 w14:paraId="7C4A9EA9">
      <w:pP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sectPr>
          <w:pgSz w:w="11906" w:h="16838"/>
          <w:pgMar w:top="1134" w:right="850" w:bottom="284" w:left="1701" w:header="708" w:footer="708" w:gutter="0"/>
          <w:cols w:space="720" w:num="1"/>
          <w:docGrid w:linePitch="299" w:charSpace="0"/>
        </w:sectPr>
      </w:pPr>
    </w:p>
    <w:p w14:paraId="55B5AD62">
      <w:pPr>
        <w:ind w:firstLine="709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2.2. Тематический план и содержание учебной дисциплины </w:t>
      </w:r>
    </w:p>
    <w:tbl>
      <w:tblPr>
        <w:tblStyle w:val="3"/>
        <w:tblW w:w="4879" w:type="pct"/>
        <w:tblInd w:w="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1"/>
        <w:gridCol w:w="7937"/>
        <w:gridCol w:w="2552"/>
        <w:gridCol w:w="1559"/>
      </w:tblGrid>
      <w:tr w14:paraId="10C6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shd w:val="clear" w:color="auto" w:fill="FFFFFF" w:themeFill="background1"/>
            <w:vAlign w:val="center"/>
          </w:tcPr>
          <w:p w14:paraId="35C9695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724" w:type="pct"/>
            <w:shd w:val="clear" w:color="auto" w:fill="FFFFFF" w:themeFill="background1"/>
            <w:vAlign w:val="center"/>
          </w:tcPr>
          <w:p w14:paraId="0ADACED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73D528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14:paraId="5694427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Коды компетенций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и личностных результатов, формированию которых способствует элемент программы</w:t>
            </w:r>
          </w:p>
        </w:tc>
      </w:tr>
      <w:tr w14:paraId="1F7EF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865" w:type="pct"/>
            <w:shd w:val="clear" w:color="auto" w:fill="FFFFFF" w:themeFill="background1"/>
            <w:vAlign w:val="center"/>
          </w:tcPr>
          <w:p w14:paraId="2BA51F0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24" w:type="pct"/>
            <w:shd w:val="clear" w:color="auto" w:fill="FFFFFF" w:themeFill="background1"/>
            <w:vAlign w:val="center"/>
          </w:tcPr>
          <w:p w14:paraId="78A383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33F844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14:paraId="566C9A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</w:p>
        </w:tc>
      </w:tr>
      <w:tr w14:paraId="219B4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89" w:type="pct"/>
            <w:gridSpan w:val="2"/>
            <w:shd w:val="clear" w:color="auto" w:fill="FFFFFF" w:themeFill="background1"/>
            <w:vAlign w:val="center"/>
          </w:tcPr>
          <w:p w14:paraId="6539EAB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Раздел .1 Правовые основы транспортных перевозок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9EF99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24/38</w:t>
            </w:r>
          </w:p>
        </w:tc>
        <w:tc>
          <w:tcPr>
            <w:tcW w:w="535" w:type="pct"/>
            <w:shd w:val="clear" w:color="auto" w:fill="FFFFFF" w:themeFill="background1"/>
            <w:vAlign w:val="center"/>
          </w:tcPr>
          <w:p w14:paraId="77EEDC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</w:p>
        </w:tc>
      </w:tr>
      <w:tr w14:paraId="22371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5DDCF69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1.1.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Правовое регулирование экономических отношений на транспорте.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Транспортные правоотношения</w:t>
            </w:r>
          </w:p>
        </w:tc>
        <w:tc>
          <w:tcPr>
            <w:tcW w:w="2724" w:type="pct"/>
            <w:shd w:val="clear" w:color="auto" w:fill="FFFFFF" w:themeFill="background1"/>
          </w:tcPr>
          <w:p w14:paraId="00ED9EB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36EF408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138B57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3AE9A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3C6826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029954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4F5698E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4833E53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09EDCBB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02AD300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491862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79109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72543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358BA54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9500F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Экономика как объект воздействия права. Значение и сфера действия транспортного права. Предпринимательская деятельность: понятие, основные признаки. Виды источников права регулирующие экономические отношения в РФ. Отрасли права регулирующие хозяйственные отношения в РФ. Место транспортного права в российском законодательстве. Предмет и методы транспортного права. Понятие юридического лица и его признаки. Понятие транспортных правоотношений, их структура. Субъекты транспортных правоотношений. Виды транспортных правоотношений. 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1F5D338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58F379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14:paraId="109E1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231054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Тема 1.2. Правовое регулирование управления на транспорте</w:t>
            </w:r>
          </w:p>
        </w:tc>
        <w:tc>
          <w:tcPr>
            <w:tcW w:w="2724" w:type="pct"/>
            <w:shd w:val="clear" w:color="auto" w:fill="FFFFFF" w:themeFill="background1"/>
          </w:tcPr>
          <w:p w14:paraId="4477DC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 учебного материала: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55090D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2/2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3ED1BE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0F8DF2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539C32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2A4B105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1CBF261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6C24E83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5EED781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572523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6C1B7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48D1B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1BC9EAE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2C45677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Организационно-правовые основы государственного управления транспортом. Государственный контроль и надзор в области транспорта, лицензирование транспортной деятельности. Порядок получения лицензии на транспортную деятельности.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D9F78B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69E672D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14:paraId="46C5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30FF5DE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FC2CA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ED8B6B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AE60E7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01F18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18C4B46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D4AA2B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1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nl-NL"/>
              </w:rPr>
              <w:t xml:space="preserve"> Ситуационная игра «Подготовка документов для получения лицензии на транспортную деятельность»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35166F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24E8618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71926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29B45C6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1.3.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Правовое регулирование корпоративного управления на транспорте</w:t>
            </w:r>
          </w:p>
          <w:p w14:paraId="074A049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3D9FA4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307E1A3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70C019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48DF19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247A47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02115B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6EEC98B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05AABE6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025863B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13F74B7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1115D2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D2F7B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30854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17B22E4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29A74D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Понятие и правовые основы хозяйственного управления на транспорте. Правовое положение участников корпоративного управления на различных видах транспорта. Правовое регулирование инвестиционной деятельности в сфере транспорта.  Виды собственности на транспортных предприятиях для различных видов транспорта.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1266B83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09B6451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14:paraId="03CA4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46C9A5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556981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B97F90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203A9DF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14:paraId="47432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18D5A2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26C74D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2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. Составление сравнительной таблицы о видах собственности на различных видах транспорта.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6F2133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4FD8B27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14:paraId="35D5E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76ACCA8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Тема 1.4.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Правовое регулирование трудовых отношений в транспортном комплексе </w:t>
            </w:r>
          </w:p>
        </w:tc>
        <w:tc>
          <w:tcPr>
            <w:tcW w:w="2724" w:type="pct"/>
            <w:shd w:val="clear" w:color="auto" w:fill="FFFFFF" w:themeFill="background1"/>
          </w:tcPr>
          <w:p w14:paraId="5DE398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F68F9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7935194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5183EA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0E28F9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54FEDC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506D643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0FAA1A6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0BC2958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42EF9F9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7DCADA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A25590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3D8AE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6A1047D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0DA194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Источники правового регулирования трудовых отношений на транспорте. Трудовые отношения работников транспорта. Трудовой договор. График работы, заработная плата, трудовая дисциплина, материальная ответственность сторон, трудовые споры, социальное обеспечение. Правовые запреты и ограничения для некоторых категорий работников на выполнение отдельных видов работ на транспорте.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AC005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0396717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20626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1597D6D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7D197E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60B35A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0717353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230A2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7B22039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62F05D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 3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Решение ситуационных задач по оформлению трудового договора и защите своих прав в соответствии с трудовым законодательством.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3A38E5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33D23A0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B57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576DD01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1.5. Организационно-правовые основы обеспечения безопасности на транспорте</w:t>
            </w:r>
          </w:p>
        </w:tc>
        <w:tc>
          <w:tcPr>
            <w:tcW w:w="2724" w:type="pct"/>
            <w:shd w:val="clear" w:color="auto" w:fill="FFFFFF" w:themeFill="background1"/>
          </w:tcPr>
          <w:p w14:paraId="2AD4DF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38336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1BD4E5C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17F20B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1515D8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0216FB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46BD2F4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62CCB06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61996EC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563BF46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551BF6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CBA1F8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662EC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785B159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5958FDD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Понятие и правовая природа отношений в области обеспечения безопасности на транспорте. Организационные основы обеспечения безопасности на транспорте. Меры защиты и меры юридической ответственности в области обеспечения безопасности на транспорте по виду транспорта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60E87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3661EF8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6F12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2B1ED8D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5971EB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26FF1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1B97BB1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AC7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C511A2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1E662E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 4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Формирование выборки основных положений нормативно-правового регулирования транспортной безопасности по виду транспорта.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10567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74E881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4408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4B4FC10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1.6. Система транспортных договоров (по видам транспорта)</w:t>
            </w:r>
          </w:p>
        </w:tc>
        <w:tc>
          <w:tcPr>
            <w:tcW w:w="2724" w:type="pct"/>
            <w:shd w:val="clear" w:color="auto" w:fill="FFFFFF" w:themeFill="background1"/>
          </w:tcPr>
          <w:p w14:paraId="4DAC16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DEC30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4/10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491E78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30FADB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22CE09A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55562E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663E14B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76AE2D6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131203E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352D2D4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212FE8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5F71D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5AE69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29D911E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078F9C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Договоры, направленные на перевозку (например, перевозки грузов; перевозки пассажиров, багажа; экспедирования грузов; фрахтования, буксировки; регулирующие перевозки грузов в прямом смешанном сообщении). </w:t>
            </w:r>
          </w:p>
          <w:p w14:paraId="2B78E0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Транспортные договоры, направленные на обеспечение процесса перевозки: (например, об организации перевозок грузов; о подаче транспортных средств под погрузку и о предъявлении груза к перевозке; соглашение между владельцами транспортных инфраструктур; договоры о предоставлении услуг по пользованию транспортной инфраструктурой. Договор о подаче и уборке вагонов и об эксплуатации подъездного железнодорожного пути.)</w:t>
            </w:r>
          </w:p>
          <w:p w14:paraId="573712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Договоры на международные перевозки. </w:t>
            </w:r>
          </w:p>
          <w:p w14:paraId="76D1A8A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Документация по перевозке опасных грузов, порядок её оформления. Виды опасных грузов. Правовое регулирование по организации перевозки опасных грузов на различных видах транспорта.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43F57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6D07AF8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0BE2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5C5A514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0FEE3D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1AFF21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15E797F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ECA1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49A0CF7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3943335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5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Оформление договоров на перевозку грузов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2154B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6609BDF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082B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4ACB3CE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71EBFDD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6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Оформление договора на перевозку пассажиров и багажа (сопровождение маломобильных категорий граждан)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57653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277A0E4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B7A1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0D02C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D4FA0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 Оформление договора на обеспечение процесса перевозки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2BDCD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467FAF6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AA15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6A1700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7A5425C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 Оформление договора на перевозку опасных грузов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93AC7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2F0DAC8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FE0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5BDDBAF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2. Авиационные риски</w:t>
            </w:r>
          </w:p>
        </w:tc>
        <w:tc>
          <w:tcPr>
            <w:tcW w:w="2724" w:type="pct"/>
            <w:shd w:val="clear" w:color="auto" w:fill="FFFFFF" w:themeFill="background1"/>
          </w:tcPr>
          <w:p w14:paraId="645A60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 учебного материала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A3AFF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4/4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4466A0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301F21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354B78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2B4F489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1B9FCF2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5CDBA56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7166034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71990CA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787CD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2581B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6DA3E15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3094C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Понятие случайного события. Вероятность случайного события. Вероятностные процессы. Действия с вероятностями. </w:t>
            </w:r>
          </w:p>
          <w:p w14:paraId="56BC5E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Транспортные риски. Причины возникновения транспортных рисков. Характеристики рисков. Виды и классификация транспортных рисков. Оценка и прогнозирование рисков.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138B9D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6E2BE87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5CAC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7BD8137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2B6FF8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19578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E48B16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0191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6F56AA0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6AC538F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9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Составление таблицы вероятностей наступления случайного события при различных условиях его возникновения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2B2729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1873087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9F84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shd w:val="clear" w:color="auto" w:fill="FFFFFF" w:themeFill="background1"/>
          </w:tcPr>
          <w:p w14:paraId="2DB5A0E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2BEA7E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10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Оценка рисков последствий наступления случайного события с социально-экономических и экологических позиций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DF2CB8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46760DB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89A0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05A8B28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2.1. Международное право в области  страхования</w:t>
            </w:r>
          </w:p>
        </w:tc>
        <w:tc>
          <w:tcPr>
            <w:tcW w:w="2724" w:type="pct"/>
            <w:shd w:val="clear" w:color="auto" w:fill="FFFFFF" w:themeFill="background1"/>
          </w:tcPr>
          <w:p w14:paraId="33D546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 учебного материала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180605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2/6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3A02CDB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8DB8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671CA75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514C6E4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Государственная политика в области страхования. Полномочия органов государственной власти Российской Федерации в области страхования.</w:t>
            </w:r>
          </w:p>
          <w:p w14:paraId="7C30549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Виды страхования грузов при международных перевозках. Международная практика определения и применения системы ответственности перевозчика за смерть или нанесение ущерба здоровью пассажира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5291B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7508ACD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1659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49F56DD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67834E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3375168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2DEE134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63C4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51B04BC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7357BB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11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. Составление таблицы функций Минфина РФ по регулированию деятельности в области транспортного страхования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7AEDC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A3CB6C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A940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3099D89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1915D1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12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Составление перечня обязанностей перевозчика согласно Конвенции о договоре о международной дорожной перевозке грузов (КДПГ).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514BB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37664C9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0921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4C6D4AC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17DB9F9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. Составление перечня обязанностей перевозчика согласно Соглашению о международной перевозке пассажиров и багажа стран СНГ.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F8767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68AD047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E690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0F70B74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2.2. Страховая деятельность </w:t>
            </w:r>
          </w:p>
        </w:tc>
        <w:tc>
          <w:tcPr>
            <w:tcW w:w="2724" w:type="pct"/>
            <w:shd w:val="clear" w:color="auto" w:fill="FFFFFF" w:themeFill="background1"/>
          </w:tcPr>
          <w:p w14:paraId="723472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 учебного материала: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12C3D5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2/8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7939D5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3AC421C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114FB4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39CEF52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539F57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22EA83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  <w:p w14:paraId="19C11D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208472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143734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24E2C63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2AD9E6B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04740A8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72C51BB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0EC5DF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823BF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5C890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4F6EE9E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6D0F04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Понятия страховых рисков, страховой стоимости, страхового случая. Договор страхования. Страховая премия.</w:t>
            </w:r>
          </w:p>
          <w:p w14:paraId="7427B41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Страхование гражданской ответственности владельцев транспортных средств. Периоды страхования, определение размера страховой премии.</w:t>
            </w:r>
          </w:p>
          <w:p w14:paraId="323488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Страхование пассажиров и членов экипажа от несчастных случаев. Порядок осуществления страховых выплат Договор страхования, определение размера страховой премии.. Особенности страхования.</w:t>
            </w:r>
          </w:p>
          <w:p w14:paraId="245F04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Страхование грузов и багажа пассажиров. Виды страхования грузов и багажа. Условия и порядок страхования, обязанности страхователя. 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C44A0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1FC17A9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01A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FA4784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33A837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76FC4C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75DCBBB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1529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7B6A9A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3BDE9B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14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Составление таблицы функций Минфина РФ по регулированию деятельности в области транспортного страхования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7BC1B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366F27B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C291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380F65F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41C7D6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15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. Составление макета договора страхования гражданской ответственности владельцев транспортных средств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2A884C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49DA061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969F3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5F87719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6A1E1B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Практическое работа № 16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. Расчет размера страховой премии при страховании пассажиров и членов экипажа от несчастных случаев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202429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2655174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621B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60A99C4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65DC84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17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Составление таблицы видов ответственности перевозчика за багаж и груз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7D95A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486A03D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189C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865" w:type="pct"/>
            <w:vMerge w:val="restart"/>
            <w:shd w:val="clear" w:color="auto" w:fill="FFFFFF" w:themeFill="background1"/>
          </w:tcPr>
          <w:p w14:paraId="7766F76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2.3. Расследование страховых случаев</w:t>
            </w:r>
          </w:p>
        </w:tc>
        <w:tc>
          <w:tcPr>
            <w:tcW w:w="2724" w:type="pct"/>
            <w:shd w:val="clear" w:color="auto" w:fill="FFFFFF" w:themeFill="background1"/>
          </w:tcPr>
          <w:p w14:paraId="442EF80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Содержание учебного материала: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58ECE4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535" w:type="pct"/>
            <w:vMerge w:val="restart"/>
            <w:shd w:val="clear" w:color="auto" w:fill="FFFFFF" w:themeFill="background1"/>
          </w:tcPr>
          <w:p w14:paraId="13182D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02</w:t>
            </w:r>
          </w:p>
          <w:p w14:paraId="218404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04</w:t>
            </w:r>
          </w:p>
          <w:p w14:paraId="60AD09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</w:t>
            </w:r>
          </w:p>
          <w:p w14:paraId="69628CC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04BEC92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ПК.2.6</w:t>
            </w:r>
          </w:p>
          <w:p w14:paraId="26373BA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 8</w:t>
            </w:r>
          </w:p>
          <w:p w14:paraId="2FF92E4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2.9</w:t>
            </w:r>
          </w:p>
          <w:p w14:paraId="0570DF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637B0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- 11</w:t>
            </w:r>
          </w:p>
        </w:tc>
      </w:tr>
      <w:tr w14:paraId="6D5AE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0D2FA9D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789409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Значения и порядок расследования страховых случаев. Сбор информации о страховом случае. Акт о страховом случае, его содержание и порядок составления. Определение размера ущерба, причиненного страхователю и подлежащего возмещению, в соответствии с действующим законодательством и договорами страхования.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6231F7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31E3059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514C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53CACC5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260D94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21601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15716D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D646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shd w:val="clear" w:color="auto" w:fill="FFFFFF" w:themeFill="background1"/>
          </w:tcPr>
          <w:p w14:paraId="595F49E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37A3EE7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 xml:space="preserve">Практическое работа № 18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Составление макета договора о личном страховании пассажирских мест.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27008EF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5" w:type="pct"/>
            <w:vMerge w:val="continue"/>
            <w:shd w:val="clear" w:color="auto" w:fill="FFFFFF" w:themeFill="background1"/>
          </w:tcPr>
          <w:p w14:paraId="5B789E7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0EC1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shd w:val="clear" w:color="auto" w:fill="FFFFFF" w:themeFill="background1"/>
          </w:tcPr>
          <w:p w14:paraId="5030B37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77618C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nl-NL"/>
              </w:rPr>
              <w:t>Самостоятельная работа обучающихся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7462C9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5" w:type="pct"/>
            <w:shd w:val="clear" w:color="auto" w:fill="FFFFFF" w:themeFill="background1"/>
          </w:tcPr>
          <w:p w14:paraId="0CD7E15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724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shd w:val="clear" w:color="auto" w:fill="FFFFFF" w:themeFill="background1"/>
          </w:tcPr>
          <w:p w14:paraId="0CB4EED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4" w:type="pct"/>
            <w:shd w:val="clear" w:color="auto" w:fill="FFFFFF" w:themeFill="background1"/>
          </w:tcPr>
          <w:p w14:paraId="143B7451">
            <w:pPr>
              <w:pStyle w:val="13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right="14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>Изучение нормативных актов:</w:t>
            </w:r>
          </w:p>
          <w:p w14:paraId="47EA0278">
            <w:pPr>
              <w:widowControl w:val="0"/>
              <w:suppressAutoHyphens/>
              <w:spacing w:after="0" w:line="240" w:lineRule="auto"/>
              <w:ind w:right="170" w:firstLine="567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 xml:space="preserve">Конституция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hi-IN"/>
              </w:rPr>
              <w:t>Российской Федерации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>.</w:t>
            </w:r>
          </w:p>
          <w:p w14:paraId="776D9486">
            <w:pPr>
              <w:widowControl w:val="0"/>
              <w:suppressAutoHyphens/>
              <w:spacing w:after="0" w:line="240" w:lineRule="auto"/>
              <w:ind w:right="170" w:firstLine="567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 xml:space="preserve">Гражданский кодекс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hi-IN"/>
              </w:rPr>
              <w:t>Российской Федерации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>.</w:t>
            </w:r>
          </w:p>
          <w:p w14:paraId="41E7DE34">
            <w:pPr>
              <w:widowControl w:val="0"/>
              <w:suppressAutoHyphens/>
              <w:spacing w:after="0" w:line="240" w:lineRule="auto"/>
              <w:ind w:right="170" w:firstLine="567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 xml:space="preserve">Воздушный кодекс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hi-IN"/>
              </w:rPr>
              <w:t>Российской Федерации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>.</w:t>
            </w:r>
          </w:p>
          <w:p w14:paraId="77443EBD">
            <w:pPr>
              <w:widowControl w:val="0"/>
              <w:suppressAutoHyphens/>
              <w:spacing w:after="0" w:line="240" w:lineRule="auto"/>
              <w:ind w:right="170" w:firstLine="567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 w:bidi="hi-IN"/>
              </w:rPr>
              <w:t>Федеральный закон «Об организации страхового дела» от 31.12.1997 г.№ 157-ФЗ</w:t>
            </w:r>
          </w:p>
          <w:p w14:paraId="1027CE4D">
            <w:pPr>
              <w:widowControl w:val="0"/>
              <w:suppressAutoHyphens/>
              <w:spacing w:after="0" w:line="240" w:lineRule="auto"/>
              <w:ind w:right="17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«О взаимном страховании» от 29.11.2007 г. № 286-ФЗ</w:t>
            </w:r>
          </w:p>
          <w:p w14:paraId="62221A57">
            <w:pPr>
              <w:pStyle w:val="13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>Регулирования правового статуса участников отношений, возникающих в сфере страхования</w:t>
            </w:r>
          </w:p>
          <w:p w14:paraId="5159688D">
            <w:pPr>
              <w:pStyle w:val="13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 w:bidi="hi-IN"/>
              </w:rPr>
              <w:t>Стороны и участники договора страхования. Участие третьих лиц в договоре страхования в качестве самостоятельных субъектов. Правовой статус страховых посредников. Особенности рассмотрения споров в сфере страхования с участием граждан и общественных организаций. Проблемы применения законодательства о защите прав потребителей к страховым правоотношениям. Правовой статус медицинских организаций, сервисных компаний, оценщиков и станций технического обслуживания в сфере страхования.</w:t>
            </w:r>
          </w:p>
          <w:p w14:paraId="6E0CC71B">
            <w:pPr>
              <w:pStyle w:val="13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nl-NL"/>
              </w:rPr>
              <w:t>Вопросы правового регулирования личного страхования</w:t>
            </w:r>
          </w:p>
          <w:p w14:paraId="7B3F477F">
            <w:pPr>
              <w:pStyle w:val="13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right="17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nl-NL"/>
              </w:rPr>
              <w:t xml:space="preserve">Вопросы правового регулирования страхования от несчастных случаев и болезней. Вопросы правового регулирования  добровольного медицинского страхования. </w:t>
            </w:r>
          </w:p>
          <w:p w14:paraId="45A6DA88">
            <w:pPr>
              <w:pStyle w:val="13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ind w:right="17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nl-NL"/>
              </w:rPr>
              <w:t>Вопросы правового регулирования страхования расходов граждан, выезжающих за пределы постоянного места жительства. Вопросы правового регулирования  страхования жизни. Вопросы правового регулирования  пенсионного страхования.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2D1A75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shd w:val="clear" w:color="auto" w:fill="FFFFFF" w:themeFill="background1"/>
          </w:tcPr>
          <w:p w14:paraId="6B2B4C8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8DFA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89" w:type="pct"/>
            <w:gridSpan w:val="2"/>
            <w:shd w:val="clear" w:color="auto" w:fill="FFFFFF" w:themeFill="background1"/>
          </w:tcPr>
          <w:p w14:paraId="5A8BED6D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Промежуточная аттестация - Экзамен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45204E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" w:type="pct"/>
            <w:shd w:val="clear" w:color="auto" w:fill="FFFFFF" w:themeFill="background1"/>
          </w:tcPr>
          <w:p w14:paraId="037EF73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62008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589" w:type="pct"/>
            <w:gridSpan w:val="2"/>
            <w:shd w:val="clear" w:color="auto" w:fill="FFFFFF" w:themeFill="background1"/>
          </w:tcPr>
          <w:p w14:paraId="7859173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Всего по ОП. 03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14:paraId="0CDCDB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535" w:type="pct"/>
            <w:shd w:val="clear" w:color="auto" w:fill="FFFFFF" w:themeFill="background1"/>
          </w:tcPr>
          <w:p w14:paraId="0FEBBEB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14:paraId="497B2FDF">
      <w:pPr>
        <w:suppressAutoHyphens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</w:p>
    <w:p w14:paraId="15E855AE">
      <w:pPr>
        <w:spacing w:before="120" w:after="120" w:line="240" w:lineRule="auto"/>
        <w:rPr>
          <w:rFonts w:ascii="Times New Roman" w:hAnsi="Times New Roman" w:eastAsia="Times New Roman" w:cs="Times New Roman"/>
          <w:i/>
          <w:sz w:val="28"/>
          <w:szCs w:val="28"/>
          <w:lang w:val="zh-CN" w:eastAsia="zh-CN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0D2BBB9F">
      <w:pPr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  <w:t>3. УСЛОВИЯ РЕАЛИЗАЦИИ УЧЕБНОЙ ДИСЦИПЛИНЫ</w:t>
      </w:r>
    </w:p>
    <w:p w14:paraId="61C97A35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  <w:r>
        <w:rPr>
          <w:rFonts w:ascii="Times New Roman" w:hAnsi="Times New Roman" w:eastAsia="Times New Roman" w:cs="Times New Roman"/>
          <w:bCs/>
          <w:iCs/>
          <w:sz w:val="28"/>
          <w:szCs w:val="28"/>
          <w:lang w:eastAsia="ru-RU"/>
        </w:rPr>
        <w:t xml:space="preserve"> Кабинет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«Сервисная деятельность по видам транспорта»</w:t>
      </w:r>
    </w:p>
    <w:p w14:paraId="09622CFB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060"/>
        <w:gridCol w:w="2892"/>
      </w:tblGrid>
      <w:tr w14:paraId="2F551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166457F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28FCD8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1CCF80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Техническое описание</w:t>
            </w:r>
          </w:p>
        </w:tc>
      </w:tr>
      <w:tr w14:paraId="78B29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6D8DEC6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>. Специализированная мебель и системы хранения</w:t>
            </w:r>
          </w:p>
        </w:tc>
      </w:tr>
      <w:tr w14:paraId="0E029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7664A45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>Основное оборудование</w:t>
            </w:r>
          </w:p>
        </w:tc>
      </w:tr>
      <w:tr w14:paraId="76E23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4E12C6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D70470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77619D7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15</w:t>
            </w:r>
          </w:p>
        </w:tc>
      </w:tr>
      <w:tr w14:paraId="47B2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E7225E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5C24ECA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0F97A56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30</w:t>
            </w:r>
          </w:p>
        </w:tc>
      </w:tr>
      <w:tr w14:paraId="2D8C6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423A1F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3608224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71177FB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1/1</w:t>
            </w:r>
          </w:p>
        </w:tc>
      </w:tr>
      <w:tr w14:paraId="0BA14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EFA436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61F863C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11191E0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</w:p>
        </w:tc>
      </w:tr>
      <w:tr w14:paraId="1B309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6111942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1902C7C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1AB7E09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</w:p>
        </w:tc>
      </w:tr>
      <w:tr w14:paraId="3AB8D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5F93E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>Дополнительное оборудование</w:t>
            </w:r>
          </w:p>
        </w:tc>
      </w:tr>
      <w:tr w14:paraId="2702B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20313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0E17F3"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B9ABD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/>
                <w:sz w:val="28"/>
                <w:szCs w:val="28"/>
              </w:rPr>
              <w:t>1</w:t>
            </w:r>
          </w:p>
        </w:tc>
      </w:tr>
      <w:tr w14:paraId="5D840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2FF2D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>Технические средства</w:t>
            </w:r>
          </w:p>
        </w:tc>
      </w:tr>
      <w:tr w14:paraId="3B5AB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D734CE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>Основное оборудование</w:t>
            </w:r>
          </w:p>
        </w:tc>
      </w:tr>
      <w:tr w14:paraId="42FA9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2998C6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77AD51C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4F27BFE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</w:t>
            </w:r>
          </w:p>
        </w:tc>
      </w:tr>
      <w:tr w14:paraId="21F1C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3BB030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5871168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0579850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</w:t>
            </w:r>
          </w:p>
        </w:tc>
      </w:tr>
      <w:tr w14:paraId="70ACA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48F374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5491A2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307E19B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</w:t>
            </w:r>
          </w:p>
        </w:tc>
      </w:tr>
      <w:tr w14:paraId="10DDC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2B0F9BE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78D6B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2762154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>Основное оборудование</w:t>
            </w:r>
          </w:p>
        </w:tc>
      </w:tr>
      <w:tr w14:paraId="74802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12066E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3318A66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53B57CC3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</w:p>
        </w:tc>
      </w:tr>
      <w:tr w14:paraId="4B09D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30600C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48595CF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275034E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</w:p>
        </w:tc>
      </w:tr>
      <w:tr w14:paraId="3DB32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432F0A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4148437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0C51EB0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</w:p>
        </w:tc>
      </w:tr>
      <w:tr w14:paraId="3BCE7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CEBACE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1853D59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6336790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</w:rPr>
            </w:pPr>
          </w:p>
        </w:tc>
      </w:tr>
    </w:tbl>
    <w:p w14:paraId="7BBB1805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3957FE3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957FBE9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2F67E852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04860FD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3BDA387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D372ED0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90BA0F4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E2A7DBD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3.2.1. Обязательные печатные и электронные издания</w:t>
      </w:r>
    </w:p>
    <w:p w14:paraId="6F26B857">
      <w:pPr>
        <w:pStyle w:val="1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Галаганов В.П. Страховое дело : учебник для студентов учреждений сред. проф. образования / В.П. Галаганов, М. А. Анюшина, И. Ю. Маркушина и другие. – Москва: Академия, 2022. – 400 с.</w:t>
      </w:r>
    </w:p>
    <w:p w14:paraId="3B7AC509">
      <w:pPr>
        <w:pStyle w:val="1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Транспортное право: учебник для вузов / Н. А. Духно [и др.]; ответственные редакторы Н. А. Духно, А. И. Землин. — 3-е изд., перераб. и доп. — Москва: Издательство Юрайт, 2022. — 435 с. — (Высшее образование). — ISBN 978-5-534-14719-3. — Текст: электронный// </w:t>
      </w:r>
    </w:p>
    <w:p w14:paraId="6FE5C59B">
      <w:pPr>
        <w:pStyle w:val="1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Правовое обеспечение профессиональной деятельности на транспорте для колледжей: учебник для среднего профессионального образования / А. И. Землин [и др.]; ответственный редактор А. И. Землин. — Москва: Издательство Юрайт, 2022. — 254 с. — (Профессиональное образование). — ISBN 978-5-534-14241-9. — Текст : электронный // Образовательная платформа Юрайт [сайт]. — URL: https://urait.ru/bcode/496912 </w:t>
      </w:r>
    </w:p>
    <w:p w14:paraId="5CDAB541">
      <w:pPr>
        <w:pStyle w:val="1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Румынина В.В. Правовое обеспечение профессиональной деятельности для студентов СПО / В.В. Румынина. – Москва: Академия, 2021. – 224 с. </w:t>
      </w:r>
    </w:p>
    <w:p w14:paraId="4D6878D2">
      <w:pPr>
        <w:pStyle w:val="1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Организация страхового дела: учебник и практикум для среднего профессионального образования /И. П. Хоминич [и др.] ; под редакцией И. П. Хоминич, Е. В. Дик. — Москва: Издательство Юрайт, 2022. — 230 с. — (Профессиональное образование). — ISBN 978-5-534-01041-1. — Текст : электронный // Образовательная платформа Юрайт [сайт].—URL:https://urait.ru/bcode/489913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4. КОНТРОЛЬ И ОЦЕНКА РЕЗУЛЬТАТОВ ОСВОЕНИЯ  </w:t>
      </w:r>
    </w:p>
    <w:p w14:paraId="3BEFF3F2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УЧЕБНОЙ ДИСЦИПЛИНЫ</w:t>
      </w:r>
    </w:p>
    <w:p w14:paraId="7F6E54B7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8"/>
        <w:gridCol w:w="2977"/>
        <w:gridCol w:w="2376"/>
      </w:tblGrid>
      <w:tr w14:paraId="1A2A2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4" w:type="pct"/>
          </w:tcPr>
          <w:p w14:paraId="46B4ED76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555" w:type="pct"/>
          </w:tcPr>
          <w:p w14:paraId="2606A0CF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241" w:type="pct"/>
          </w:tcPr>
          <w:p w14:paraId="6753EFFA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  <w:t>Методы оценки</w:t>
            </w:r>
          </w:p>
        </w:tc>
      </w:tr>
      <w:tr w14:paraId="4C9F6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204" w:type="pct"/>
          </w:tcPr>
          <w:p w14:paraId="5F3F09B3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  <w:lang w:eastAsia="ru-RU"/>
              </w:rPr>
              <w:t>знаний,</w:t>
            </w:r>
            <w:r>
              <w:rPr>
                <w:rFonts w:ascii="Times New Roman" w:hAnsi="Times New Roman" w:eastAsia="Times New Roman" w:cs="Times New Roman"/>
                <w:spacing w:val="-5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осваиваемых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рамках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дисциплины: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 права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и обязанности работников в сфере профессиональной деятельности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в области транспортных перевозок;</w:t>
            </w:r>
          </w:p>
          <w:p w14:paraId="10640E0B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законодательные акты и другие нормативные документы, регулирующие правоотношения в транспортных перевозках;</w:t>
            </w:r>
          </w:p>
          <w:p w14:paraId="697B72B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международные конвенции, правовые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и нормативные акты, регулирующие основные направления государственной политики в сфере страхования на транспорте;</w:t>
            </w:r>
          </w:p>
          <w:p w14:paraId="3FEBE11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специфику видов страховой деятельности на транспорте;</w:t>
            </w:r>
          </w:p>
          <w:p w14:paraId="5726312D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страхование ответственности перед пассажирами; страхование ответственности за доставку багажа и груза; страхование гражданской ответственности владельца транспортного средства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и перевозчика; ответственность за нанесенный вред жизни и здоровью пассажира; ответственность перевозчика за сохранность багаж и груз; расследование страховых случаев</w:t>
            </w:r>
          </w:p>
        </w:tc>
        <w:tc>
          <w:tcPr>
            <w:tcW w:w="1555" w:type="pct"/>
          </w:tcPr>
          <w:p w14:paraId="6F3969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Демонстрировать знания правовых основ профессиональной деятельности</w:t>
            </w:r>
          </w:p>
          <w:p w14:paraId="08982C5A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 xml:space="preserve">Ориентация в страховых программах, применяемых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на транспорте (по видам транспорта)</w:t>
            </w:r>
          </w:p>
          <w:p w14:paraId="50EA4126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Знание видов договорных отношений</w:t>
            </w:r>
          </w:p>
        </w:tc>
        <w:tc>
          <w:tcPr>
            <w:tcW w:w="1241" w:type="pct"/>
          </w:tcPr>
          <w:p w14:paraId="45D241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Промежуточная</w:t>
            </w:r>
            <w:r>
              <w:rPr>
                <w:rFonts w:ascii="Times New Roman" w:hAnsi="Times New Roman" w:eastAsia="Times New Roman" w:cs="Times New Roman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аттестация</w:t>
            </w:r>
            <w:r>
              <w:rPr>
                <w:rFonts w:ascii="Times New Roman" w:hAnsi="Times New Roman" w:eastAsia="Times New Roman" w:cs="Times New Roman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форме</w:t>
            </w:r>
            <w:r>
              <w:rPr>
                <w:rFonts w:ascii="Times New Roman" w:hAnsi="Times New Roman" w:eastAsia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дифференцированного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зачета.</w:t>
            </w:r>
          </w:p>
          <w:p w14:paraId="2E2588CF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0FE313B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Текущий контроль:</w:t>
            </w:r>
          </w:p>
          <w:p w14:paraId="62B3A1F0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письменного/ устного опроса;</w:t>
            </w:r>
          </w:p>
          <w:p w14:paraId="2058579F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тестирования;</w:t>
            </w:r>
          </w:p>
          <w:p w14:paraId="782623A8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оценки результатов самостоятельной работы (докладов, рефератов, и т.д.)</w:t>
            </w:r>
          </w:p>
          <w:p w14:paraId="6A32ED5F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3EC953C4">
            <w:pPr>
              <w:widowControl w:val="0"/>
              <w:tabs>
                <w:tab w:val="left" w:pos="2859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Экспертное наблюдение за выполнением практических работ и оценка результатов их выполнения.</w:t>
            </w:r>
          </w:p>
        </w:tc>
      </w:tr>
      <w:tr w14:paraId="472BB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204" w:type="pct"/>
          </w:tcPr>
          <w:p w14:paraId="1993336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  <w:lang w:eastAsia="ru-RU"/>
              </w:rPr>
              <w:t>умений,</w:t>
            </w:r>
            <w:r>
              <w:rPr>
                <w:rFonts w:ascii="Times New Roman" w:hAnsi="Times New Roman" w:eastAsia="Times New Roman" w:cs="Times New Roman"/>
                <w:spacing w:val="-5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осваиваемых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рамках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дисциплины:</w:t>
            </w:r>
          </w:p>
          <w:p w14:paraId="3F27BAE7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использовать на практике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 xml:space="preserve">защищать свои права в соответствии с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трудовым законодательством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применять требования нормативных документов к основным видам услуг и процессов сервиса на транспорте; применять документацию систем качества; консультировать потребителей по вопросам страхования на транспорте;</w:t>
            </w:r>
          </w:p>
          <w:p w14:paraId="723A0A81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22272F"/>
                <w:sz w:val="28"/>
                <w:szCs w:val="28"/>
                <w:lang w:eastAsia="ru-RU"/>
              </w:rPr>
              <w:t>оформлять страховые программы на транспорте; предоставлять информацию при расследовании страховых случаев</w:t>
            </w:r>
          </w:p>
        </w:tc>
        <w:tc>
          <w:tcPr>
            <w:tcW w:w="1555" w:type="pct"/>
          </w:tcPr>
          <w:p w14:paraId="37B1E7DB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Демонстрация на практических занятиях отработанных умений по оформлению трудового договора и защите прав в соответствии с трудовым законодательством; применению основ транспортного права при организации профессиональной деятельности.</w:t>
            </w:r>
          </w:p>
          <w:p w14:paraId="3F18931A">
            <w:pPr>
              <w:widowControl w:val="0"/>
              <w:tabs>
                <w:tab w:val="left" w:pos="551"/>
                <w:tab w:val="left" w:pos="678"/>
                <w:tab w:val="left" w:pos="1504"/>
                <w:tab w:val="left" w:pos="1598"/>
                <w:tab w:val="left" w:pos="1833"/>
                <w:tab w:val="left" w:pos="2052"/>
                <w:tab w:val="left" w:pos="2155"/>
                <w:tab w:val="left" w:pos="2228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Оформление страховых программ, применяемых на транспорте</w:t>
            </w:r>
          </w:p>
        </w:tc>
        <w:tc>
          <w:tcPr>
            <w:tcW w:w="1241" w:type="pct"/>
          </w:tcPr>
          <w:p w14:paraId="2CD01E6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Экспертная оценка результатов выполнения практических работ и результатов выполнения самостоятельных работ.</w:t>
            </w:r>
          </w:p>
        </w:tc>
      </w:tr>
    </w:tbl>
    <w:p w14:paraId="741C12AB">
      <w:pPr>
        <w:jc w:val="center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</w:pPr>
    </w:p>
    <w:p w14:paraId="74051DBC">
      <w:pPr>
        <w:jc w:val="center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</w:pPr>
    </w:p>
    <w:p w14:paraId="035299A1">
      <w:pPr>
        <w:widowControl w:val="0"/>
        <w:autoSpaceDE w:val="0"/>
        <w:autoSpaceDN w:val="0"/>
        <w:spacing w:after="0" w:line="278" w:lineRule="auto"/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ru-RU"/>
        </w:rPr>
        <w:t>5. ЛИСТ ИЗМЕНЕНИЙ И ДОПОЛНЕНИЙ, ВНЕСЕННЫХ В РАБОЧУЮ ПРОГРАММУ ДИСЦИПЛИНЫ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365"/>
        <w:gridCol w:w="3117"/>
        <w:gridCol w:w="2826"/>
      </w:tblGrid>
      <w:tr w14:paraId="40F1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2DC715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№</w:t>
            </w:r>
          </w:p>
          <w:p w14:paraId="2DF58E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4078BC9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72E6CF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1BB097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60A1F9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После внесения изменения</w:t>
            </w:r>
          </w:p>
        </w:tc>
      </w:tr>
      <w:tr w14:paraId="2065C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AF3BA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1</w:t>
            </w:r>
          </w:p>
          <w:p w14:paraId="7337C8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E24C0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2FFD7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C010D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14:paraId="5F77FC7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91D83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C45D66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3E3F60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714FE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B819D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</w:tcPr>
          <w:p w14:paraId="3683116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D3EC22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BAA4A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EFABF8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492F3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491F58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E849D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1088C16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696F63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45B4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09C1C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14:paraId="1FEB9F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D4AD1E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A63FDC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90AF0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3A887E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37381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13986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56EC63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25DF5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E38A4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14:paraId="4E03D1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38CBA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8CFBA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443CB4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7D941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4ABD6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F486CC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288232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5EAC0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3407A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14:paraId="5BB30E0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F2D949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2AAF7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3E1A5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298CD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B01C8E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E84E0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1AA8F4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5E467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8304F7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</w:tcPr>
          <w:p w14:paraId="4065160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10A817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B15FF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60A38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118C15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DBEED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40B36D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3E7D0C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1CB81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1A8E3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14:paraId="5727CB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2CACDC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E95A4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DCA15D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CB4D2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FED89C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6CBC9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14:paraId="02FA1E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14:paraId="5077BDC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C4F7922"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BB0F69"/>
    <w:multiLevelType w:val="multilevel"/>
    <w:tmpl w:val="26BB0F6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74564"/>
    <w:multiLevelType w:val="multilevel"/>
    <w:tmpl w:val="2A87456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B608E"/>
    <w:multiLevelType w:val="multilevel"/>
    <w:tmpl w:val="2B6B608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num w:numId="1">
    <w:abstractNumId w:val="3"/>
    <w:lvlOverride w:ilvl="0">
      <w:startOverride w:val="43"/>
    </w:lvlOverride>
    <w:lvlOverride w:ilvl="3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44"/>
    <w:rsid w:val="000474E0"/>
    <w:rsid w:val="00057DEE"/>
    <w:rsid w:val="000972DF"/>
    <w:rsid w:val="000E332D"/>
    <w:rsid w:val="00102A7C"/>
    <w:rsid w:val="00114920"/>
    <w:rsid w:val="00143C67"/>
    <w:rsid w:val="0015173C"/>
    <w:rsid w:val="001F6E6F"/>
    <w:rsid w:val="002415A8"/>
    <w:rsid w:val="002D5F68"/>
    <w:rsid w:val="003F064D"/>
    <w:rsid w:val="0049193F"/>
    <w:rsid w:val="004A236E"/>
    <w:rsid w:val="004C637E"/>
    <w:rsid w:val="00626F48"/>
    <w:rsid w:val="006F6342"/>
    <w:rsid w:val="007A25EE"/>
    <w:rsid w:val="007A357D"/>
    <w:rsid w:val="007B6C62"/>
    <w:rsid w:val="0083776C"/>
    <w:rsid w:val="00874DAE"/>
    <w:rsid w:val="00896740"/>
    <w:rsid w:val="008F53AD"/>
    <w:rsid w:val="009930BC"/>
    <w:rsid w:val="0099535C"/>
    <w:rsid w:val="00B41777"/>
    <w:rsid w:val="00B94BF0"/>
    <w:rsid w:val="00C45F78"/>
    <w:rsid w:val="00C52869"/>
    <w:rsid w:val="00CA1FFD"/>
    <w:rsid w:val="00D56F32"/>
    <w:rsid w:val="00D83876"/>
    <w:rsid w:val="00DF4808"/>
    <w:rsid w:val="00EF7B05"/>
    <w:rsid w:val="00F2245F"/>
    <w:rsid w:val="00F26D7C"/>
    <w:rsid w:val="00F30098"/>
    <w:rsid w:val="00F44801"/>
    <w:rsid w:val="00F66029"/>
    <w:rsid w:val="00FB4744"/>
    <w:rsid w:val="36B73A33"/>
    <w:rsid w:val="36D7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rFonts w:cs="Times New Roman"/>
      <w:i/>
    </w:rPr>
  </w:style>
  <w:style w:type="paragraph" w:styleId="5">
    <w:name w:val="footer"/>
    <w:basedOn w:val="1"/>
    <w:link w:val="12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footnote reference"/>
    <w:qFormat/>
    <w:uiPriority w:val="99"/>
    <w:rPr>
      <w:rFonts w:cs="Times New Roman"/>
      <w:vertAlign w:val="superscript"/>
    </w:rPr>
  </w:style>
  <w:style w:type="paragraph" w:styleId="7">
    <w:name w:val="footnote text"/>
    <w:basedOn w:val="1"/>
    <w:link w:val="10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9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Текст сноски Знак"/>
    <w:basedOn w:val="2"/>
    <w:link w:val="7"/>
    <w:semiHidden/>
    <w:qFormat/>
    <w:uiPriority w:val="99"/>
    <w:rPr>
      <w:sz w:val="20"/>
      <w:szCs w:val="20"/>
    </w:rPr>
  </w:style>
  <w:style w:type="character" w:customStyle="1" w:styleId="11">
    <w:name w:val="Верхний колонтитул Знак"/>
    <w:basedOn w:val="2"/>
    <w:link w:val="8"/>
    <w:qFormat/>
    <w:uiPriority w:val="99"/>
  </w:style>
  <w:style w:type="character" w:customStyle="1" w:styleId="12">
    <w:name w:val="Нижний колонтитул Знак"/>
    <w:basedOn w:val="2"/>
    <w:link w:val="5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2930</Words>
  <Characters>16707</Characters>
  <Lines>139</Lines>
  <Paragraphs>39</Paragraphs>
  <TotalTime>0</TotalTime>
  <ScaleCrop>false</ScaleCrop>
  <LinksUpToDate>false</LinksUpToDate>
  <CharactersWithSpaces>19598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2023-04-06T00:45:00Z</dcterms:created>
  <dc:creator>Библиотека-2</dc:creator>
  <cp:lastModifiedBy>User</cp:lastModifiedBy>
  <dcterms:modified xsi:type="dcterms:W3CDTF">2025-11-26T02:28:29Z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35E21ED6BE5346BFBCEDA5C1B99CE497_12</vt:lpwstr>
  </property>
</Properties>
</file>